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2EC" w:rsidP="7C1F77ED" w:rsidRDefault="3DF7679D" w14:paraId="6A9EFC87" w14:textId="5BED2881">
      <w:pPr>
        <w:spacing w:after="0" w:line="240" w:lineRule="auto"/>
        <w:jc w:val="center"/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Style w:val="normaltextrun"/>
          <w:rFonts w:asciiTheme="majorHAnsi" w:hAnsiTheme="majorHAnsi" w:eastAsiaTheme="majorEastAsia" w:cstheme="majorBidi"/>
          <w:b/>
          <w:bCs/>
          <w:color w:val="000000" w:themeColor="text1"/>
        </w:rPr>
        <w:t>Przedmiotowe Zasady Oceniania</w:t>
      </w:r>
      <w:r w:rsidRPr="7C1F77ED">
        <w:rPr>
          <w:rStyle w:val="eop"/>
          <w:rFonts w:asciiTheme="majorHAnsi" w:hAnsiTheme="majorHAnsi" w:eastAsiaTheme="majorEastAsia" w:cstheme="majorBidi"/>
          <w:color w:val="000000" w:themeColor="text1"/>
        </w:rPr>
        <w:t> </w:t>
      </w:r>
    </w:p>
    <w:p w:rsidR="00B932EC" w:rsidP="27AFDC9E" w:rsidRDefault="3DF7679D" w14:paraId="21EA147C" w14:textId="124B3DE8">
      <w:pPr>
        <w:spacing w:after="0" w:line="240" w:lineRule="auto"/>
        <w:jc w:val="center"/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/>
        </w:rPr>
      </w:pPr>
      <w:r w:rsidRPr="27AFDC9E" w:rsidR="3DF7679D">
        <w:rPr>
          <w:rStyle w:val="normaltextrun"/>
          <w:rFonts w:ascii="Calibri Light" w:hAnsi="Calibri Light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 xml:space="preserve">z </w:t>
      </w:r>
      <w:r w:rsidRPr="27AFDC9E" w:rsidR="5FCCDED3">
        <w:rPr>
          <w:rStyle w:val="normaltextrun"/>
          <w:rFonts w:ascii="Calibri Light" w:hAnsi="Calibri Light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Chemii</w:t>
      </w:r>
      <w:r w:rsidRPr="27AFDC9E" w:rsidR="3DF7679D">
        <w:rPr>
          <w:rStyle w:val="normaltextrun"/>
          <w:rFonts w:ascii="Calibri Light" w:hAnsi="Calibri Light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, klasy 7-8</w:t>
      </w:r>
      <w:r w:rsidRPr="27AFDC9E" w:rsidR="3DF7679D">
        <w:rPr>
          <w:rStyle w:val="eop"/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 </w:t>
      </w:r>
    </w:p>
    <w:p w:rsidR="00B932EC" w:rsidP="7C1F77ED" w:rsidRDefault="3DF7679D" w14:paraId="4E1EB135" w14:textId="030B9CD3">
      <w:pPr>
        <w:spacing w:after="0" w:line="240" w:lineRule="auto"/>
        <w:jc w:val="center"/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Style w:val="normaltextrun"/>
          <w:rFonts w:asciiTheme="majorHAnsi" w:hAnsiTheme="majorHAnsi" w:eastAsiaTheme="majorEastAsia" w:cstheme="majorBidi"/>
          <w:b/>
          <w:bCs/>
          <w:color w:val="000000" w:themeColor="text1"/>
        </w:rPr>
        <w:t>Salezjańska Szkoła Podstawowa</w:t>
      </w:r>
    </w:p>
    <w:p w:rsidR="00B932EC" w:rsidP="1ACEB9DD" w:rsidRDefault="3DF7679D" w14:paraId="7475FAAA" w14:textId="3180A922">
      <w:pPr>
        <w:spacing w:after="0" w:line="240" w:lineRule="auto"/>
        <w:jc w:val="center"/>
        <w:rPr>
          <w:rStyle w:val="normaltextrun"/>
          <w:rFonts w:asciiTheme="majorHAnsi" w:hAnsiTheme="majorHAnsi" w:eastAsiaTheme="majorEastAsia" w:cstheme="majorBidi"/>
          <w:b/>
          <w:bCs/>
          <w:color w:val="000000" w:themeColor="text1"/>
        </w:rPr>
      </w:pPr>
      <w:r w:rsidRPr="1ACEB9DD">
        <w:rPr>
          <w:rStyle w:val="normaltextrun"/>
          <w:rFonts w:asciiTheme="majorHAnsi" w:hAnsiTheme="majorHAnsi" w:eastAsiaTheme="majorEastAsia" w:cstheme="majorBidi"/>
          <w:b/>
          <w:bCs/>
          <w:color w:val="000000" w:themeColor="text1"/>
        </w:rPr>
        <w:t>202</w:t>
      </w:r>
      <w:r w:rsidRPr="1ACEB9DD" w:rsidR="1B57E971">
        <w:rPr>
          <w:rStyle w:val="normaltextrun"/>
          <w:rFonts w:asciiTheme="majorHAnsi" w:hAnsiTheme="majorHAnsi" w:eastAsiaTheme="majorEastAsia" w:cstheme="majorBidi"/>
          <w:b/>
          <w:bCs/>
          <w:color w:val="000000" w:themeColor="text1"/>
        </w:rPr>
        <w:t>4</w:t>
      </w:r>
      <w:r w:rsidRPr="1ACEB9DD">
        <w:rPr>
          <w:rStyle w:val="normaltextrun"/>
          <w:rFonts w:asciiTheme="majorHAnsi" w:hAnsiTheme="majorHAnsi" w:eastAsiaTheme="majorEastAsia" w:cstheme="majorBidi"/>
          <w:b/>
          <w:bCs/>
          <w:color w:val="000000" w:themeColor="text1"/>
        </w:rPr>
        <w:t>/202</w:t>
      </w:r>
      <w:r w:rsidRPr="1ACEB9DD" w:rsidR="4B376F8A">
        <w:rPr>
          <w:rStyle w:val="normaltextrun"/>
          <w:rFonts w:asciiTheme="majorHAnsi" w:hAnsiTheme="majorHAnsi" w:eastAsiaTheme="majorEastAsia" w:cstheme="majorBidi"/>
          <w:b/>
          <w:bCs/>
          <w:color w:val="000000" w:themeColor="text1"/>
        </w:rPr>
        <w:t>5</w:t>
      </w:r>
    </w:p>
    <w:p w:rsidR="00B932EC" w:rsidP="7C1F77ED" w:rsidRDefault="3C0D9790" w14:paraId="75DED0D1" w14:textId="58A679EF">
      <w:pPr>
        <w:pStyle w:val="Akapitzlist"/>
        <w:numPr>
          <w:ilvl w:val="0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Przedmiotowe zasady oceniania są zgodne z WZO, który jest częścią Statutu Szkoły.</w:t>
      </w:r>
    </w:p>
    <w:p w:rsidR="00B932EC" w:rsidP="7C1F77ED" w:rsidRDefault="3C0D9790" w14:paraId="40406DC6" w14:textId="60BE9B43">
      <w:pPr>
        <w:pStyle w:val="Akapitzlist"/>
        <w:numPr>
          <w:ilvl w:val="0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PZO przewidują sprawdzanie wiedzy:</w:t>
      </w:r>
    </w:p>
    <w:p w:rsidR="00B932EC" w:rsidP="7C1F77ED" w:rsidRDefault="3C0D9790" w14:paraId="71B51152" w14:textId="053768C4">
      <w:pPr>
        <w:pStyle w:val="Akapitzlist"/>
        <w:numPr>
          <w:ilvl w:val="1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Sprawdziany obejmujące wyznaczony przez nauczyciela większy dział;</w:t>
      </w:r>
    </w:p>
    <w:p w:rsidR="00B932EC" w:rsidP="7C1F77ED" w:rsidRDefault="3C0D9790" w14:paraId="3A1EA006" w14:textId="131AA793">
      <w:pPr>
        <w:pStyle w:val="Akapitzlist"/>
        <w:numPr>
          <w:ilvl w:val="1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Kartkówki obejmujące zakres trzech tematów;</w:t>
      </w:r>
    </w:p>
    <w:p w:rsidR="00B932EC" w:rsidP="7C1F77ED" w:rsidRDefault="3C0D9790" w14:paraId="57590708" w14:textId="30B85B8D">
      <w:pPr>
        <w:pStyle w:val="Akapitzlist"/>
        <w:numPr>
          <w:ilvl w:val="1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Prace o charakterze laboratoryjnym;</w:t>
      </w:r>
    </w:p>
    <w:p w:rsidR="00B932EC" w:rsidP="7C1F77ED" w:rsidRDefault="3C0D9790" w14:paraId="260A95BB" w14:textId="6D3218E9">
      <w:pPr>
        <w:pStyle w:val="Akapitzlist"/>
        <w:numPr>
          <w:ilvl w:val="1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Odpowiedzi ustne;</w:t>
      </w:r>
    </w:p>
    <w:p w:rsidR="00B932EC" w:rsidP="7C1F77ED" w:rsidRDefault="3C0D9790" w14:paraId="36F39A4E" w14:textId="7488EC91">
      <w:pPr>
        <w:pStyle w:val="Akapitzlist"/>
        <w:numPr>
          <w:ilvl w:val="1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Prace domowe;</w:t>
      </w:r>
    </w:p>
    <w:p w:rsidR="00B932EC" w:rsidP="7C1F77ED" w:rsidRDefault="3C0D9790" w14:paraId="153CE95A" w14:textId="70E23432">
      <w:pPr>
        <w:pStyle w:val="Akapitzlist"/>
        <w:numPr>
          <w:ilvl w:val="1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Prace powtórzeniowe;</w:t>
      </w:r>
    </w:p>
    <w:p w:rsidR="00B932EC" w:rsidP="7C1F77ED" w:rsidRDefault="3C0D9790" w14:paraId="27B0276B" w14:textId="1FB66FC4">
      <w:pPr>
        <w:pStyle w:val="Akapitzlist"/>
        <w:numPr>
          <w:ilvl w:val="0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Kartkówki:</w:t>
      </w:r>
    </w:p>
    <w:p w:rsidR="00B932EC" w:rsidP="7C1F77ED" w:rsidRDefault="3C0D9790" w14:paraId="7D837913" w14:textId="4222E4D7">
      <w:pPr>
        <w:pStyle w:val="Akapitzlist"/>
        <w:numPr>
          <w:ilvl w:val="1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Są krótkie, czas przeznaczony na wykonanie pracy przez ucznia wynosi około 10 minut;</w:t>
      </w:r>
    </w:p>
    <w:p w:rsidR="00B932EC" w:rsidP="7C1F77ED" w:rsidRDefault="3C0D9790" w14:paraId="680E8E55" w14:textId="06ACD3D3">
      <w:pPr>
        <w:pStyle w:val="Akapitzlist"/>
        <w:numPr>
          <w:ilvl w:val="1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Czas może być wydłużony ze względu na potrzeby indywidualne ucznia (dysfunkcje);</w:t>
      </w:r>
    </w:p>
    <w:p w:rsidR="00B932EC" w:rsidP="7C1F77ED" w:rsidRDefault="3C0D9790" w14:paraId="1A72B766" w14:textId="49B6477C">
      <w:pPr>
        <w:pStyle w:val="Akapitzlist"/>
        <w:numPr>
          <w:ilvl w:val="1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Zakres materiału jest podawany uczniom w formie pisemnej lub ustnej;</w:t>
      </w:r>
    </w:p>
    <w:p w:rsidR="00B932EC" w:rsidP="7C1F77ED" w:rsidRDefault="3C0D9790" w14:paraId="7228EA92" w14:textId="25961854">
      <w:pPr>
        <w:pStyle w:val="Akapitzlist"/>
        <w:numPr>
          <w:ilvl w:val="1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Termin kartkówki jest ustalony i zapisany w dzienniku elektronicznym;</w:t>
      </w:r>
    </w:p>
    <w:p w:rsidR="00B932EC" w:rsidP="7C1F77ED" w:rsidRDefault="3C0D9790" w14:paraId="5B43D87D" w14:textId="1350ECB9">
      <w:pPr>
        <w:pStyle w:val="Akapitzlist"/>
        <w:numPr>
          <w:ilvl w:val="1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Waga kartkówek- jeden;</w:t>
      </w:r>
    </w:p>
    <w:p w:rsidR="00B932EC" w:rsidP="7C1F77ED" w:rsidRDefault="3C0D9790" w14:paraId="598655DE" w14:textId="5A39E5FC">
      <w:pPr>
        <w:pStyle w:val="Akapitzlist"/>
        <w:numPr>
          <w:ilvl w:val="1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Kartkówkę można poprawić jednokrotnie w ciągu jednego miesiąca. Obie oceny (z pierwszego terminu i poprawiona) są wliczane do średniej z danego okresu nauki;</w:t>
      </w:r>
    </w:p>
    <w:p w:rsidR="00B932EC" w:rsidP="7C1F77ED" w:rsidRDefault="3C0D9790" w14:paraId="7DB539F1" w14:textId="7F48D262">
      <w:pPr>
        <w:pStyle w:val="Akapitzlist"/>
        <w:numPr>
          <w:ilvl w:val="0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Sprawdziany:</w:t>
      </w:r>
    </w:p>
    <w:p w:rsidR="00B932EC" w:rsidP="7C1F77ED" w:rsidRDefault="3C0D9790" w14:paraId="783E8FA5" w14:textId="4A406A0F">
      <w:pPr>
        <w:pStyle w:val="Akapitzlist"/>
        <w:numPr>
          <w:ilvl w:val="1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Mogą trwać całą lekcję;</w:t>
      </w:r>
    </w:p>
    <w:p w:rsidR="00B932EC" w:rsidP="7C1F77ED" w:rsidRDefault="3C0D9790" w14:paraId="28166759" w14:textId="245A8F9A">
      <w:pPr>
        <w:pStyle w:val="Akapitzlist"/>
        <w:numPr>
          <w:ilvl w:val="1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Dotyczą dłuższego, wyznaczonego materiału;</w:t>
      </w:r>
    </w:p>
    <w:p w:rsidR="00B932EC" w:rsidP="7C1F77ED" w:rsidRDefault="3C0D9790" w14:paraId="00CC9F2B" w14:textId="7DDBD511">
      <w:pPr>
        <w:pStyle w:val="Akapitzlist"/>
        <w:numPr>
          <w:ilvl w:val="1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Waga sprawdzianów może być większa niż jeden;</w:t>
      </w:r>
    </w:p>
    <w:p w:rsidR="00B932EC" w:rsidP="7C1F77ED" w:rsidRDefault="3C0D9790" w14:paraId="4D0D76B1" w14:textId="49471744">
      <w:pPr>
        <w:pStyle w:val="Akapitzlist"/>
        <w:numPr>
          <w:ilvl w:val="1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7C1F77ED">
        <w:rPr>
          <w:rFonts w:asciiTheme="majorHAnsi" w:hAnsiTheme="majorHAnsi" w:eastAsiaTheme="majorEastAsia" w:cstheme="majorBidi"/>
          <w:color w:val="000000" w:themeColor="text1"/>
        </w:rPr>
        <w:t>Sprawdzian można poprawić jednokrotnie w ciągu jednego miesiąca. Obie oceny (z pierwszego terminu i poprawiona) są wliczane do średniej z danego okresu nauki;</w:t>
      </w:r>
    </w:p>
    <w:p w:rsidR="00B932EC" w:rsidP="7C1F77ED" w:rsidRDefault="3C0D9790" w14:paraId="1020D0EF" w14:textId="605FA22C">
      <w:pPr>
        <w:pStyle w:val="Akapitzlist"/>
        <w:numPr>
          <w:ilvl w:val="0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3C88CE20">
        <w:rPr>
          <w:rFonts w:asciiTheme="majorHAnsi" w:hAnsiTheme="majorHAnsi" w:eastAsiaTheme="majorEastAsia" w:cstheme="majorBidi"/>
          <w:color w:val="000000" w:themeColor="text1"/>
        </w:rPr>
        <w:t xml:space="preserve">Uczeń nieobecny na zapowiedzianym sprawdzianie, kartkówce czy pracy powtórzeniowej jest zobowiązany zgłosić się do nauczyciela w pierwszym dniu po nieobecności w celu ustalenia przez nauczyciela formy i terminu ponownego sprawdzianu, kartkówki czy pracy powtórzeniowej; nieprzystąpienie </w:t>
      </w:r>
      <w:r w:rsidRPr="3C88CE20" w:rsidR="6197A70E">
        <w:rPr>
          <w:rFonts w:asciiTheme="majorHAnsi" w:hAnsiTheme="majorHAnsi" w:eastAsiaTheme="majorEastAsia" w:cstheme="majorBidi"/>
          <w:color w:val="000000" w:themeColor="text1"/>
        </w:rPr>
        <w:t xml:space="preserve">w umówionym terminie skutkuje </w:t>
      </w:r>
      <w:r w:rsidRPr="3C88CE20" w:rsidR="07AA96F4">
        <w:rPr>
          <w:rFonts w:asciiTheme="majorHAnsi" w:hAnsiTheme="majorHAnsi" w:eastAsiaTheme="majorEastAsia" w:cstheme="majorBidi"/>
          <w:color w:val="000000" w:themeColor="text1"/>
        </w:rPr>
        <w:t>poleceniem napisania zaległej pracy na pierwszej lekcji po wyznaczonej dacie.</w:t>
      </w:r>
      <w:r w:rsidRPr="3C88CE20">
        <w:rPr>
          <w:rFonts w:asciiTheme="majorHAnsi" w:hAnsiTheme="majorHAnsi" w:eastAsiaTheme="majorEastAsia" w:cstheme="majorBidi"/>
          <w:color w:val="000000" w:themeColor="text1"/>
        </w:rPr>
        <w:t xml:space="preserve"> </w:t>
      </w:r>
    </w:p>
    <w:p w:rsidR="73D35E6C" w:rsidP="5138B304" w:rsidRDefault="73D35E6C" w14:paraId="1F412545" w14:textId="6392C879">
      <w:pPr>
        <w:pStyle w:val="Akapitzlist"/>
        <w:numPr>
          <w:ilvl w:val="0"/>
          <w:numId w:val="1"/>
        </w:numPr>
        <w:rPr>
          <w:rFonts w:ascii="Calibri Light" w:hAnsi="Calibri Light" w:eastAsia="ＭＳ ゴシック" w:cs="Times New Roman" w:asciiTheme="majorAscii" w:hAnsiTheme="majorAscii" w:eastAsiaTheme="majorEastAsia" w:cstheme="majorBidi"/>
          <w:color w:val="auto"/>
        </w:rPr>
      </w:pPr>
      <w:r w:rsidRPr="5138B304" w:rsidR="73D35E6C">
        <w:rPr>
          <w:rFonts w:ascii="Calibri Light" w:hAnsi="Calibri Light" w:eastAsia="ＭＳ ゴシック" w:cs="Times New Roman" w:asciiTheme="majorAscii" w:hAnsiTheme="majorAscii" w:eastAsiaTheme="majorEastAsia" w:cstheme="majorBidi"/>
          <w:color w:val="auto"/>
        </w:rPr>
        <w:t xml:space="preserve">Uczniowie w trakcie semestru uzyskują ze wszystkich prac oceny w formie procentowej. Ocena w postaci </w:t>
      </w:r>
      <w:r w:rsidRPr="5138B304" w:rsidR="003A33C1">
        <w:rPr>
          <w:rFonts w:ascii="Calibri Light" w:hAnsi="Calibri Light" w:eastAsia="ＭＳ ゴシック" w:cs="Times New Roman" w:asciiTheme="majorAscii" w:hAnsiTheme="majorAscii" w:eastAsiaTheme="majorEastAsia" w:cstheme="majorBidi"/>
          <w:color w:val="auto"/>
        </w:rPr>
        <w:t>określenia słownego i liczbowego (czyli „dobry 4”)</w:t>
      </w:r>
      <w:r w:rsidRPr="5138B304" w:rsidR="003A33C1">
        <w:rPr>
          <w:rFonts w:ascii="Calibri Light" w:hAnsi="Calibri Light" w:eastAsia="ＭＳ ゴシック" w:cs="Times New Roman" w:asciiTheme="majorAscii" w:hAnsiTheme="majorAscii" w:eastAsiaTheme="majorEastAsia" w:cstheme="majorBidi"/>
          <w:color w:val="auto"/>
        </w:rPr>
        <w:t xml:space="preserve"> </w:t>
      </w:r>
      <w:r w:rsidRPr="5138B304" w:rsidR="003A33C1">
        <w:rPr>
          <w:rFonts w:ascii="Calibri Light" w:hAnsi="Calibri Light" w:eastAsia="ＭＳ ゴシック" w:cs="Times New Roman" w:asciiTheme="majorAscii" w:hAnsiTheme="majorAscii" w:eastAsiaTheme="majorEastAsia" w:cstheme="majorBidi"/>
          <w:color w:val="auto"/>
        </w:rPr>
        <w:t xml:space="preserve">zgodnie z punktem </w:t>
      </w:r>
      <w:r w:rsidRPr="5138B304" w:rsidR="003A33C1">
        <w:rPr>
          <w:rFonts w:ascii="Calibri Light" w:hAnsi="Calibri Light" w:eastAsia="ＭＳ ゴシック" w:cs="Times New Roman" w:asciiTheme="majorAscii" w:hAnsiTheme="majorAscii" w:eastAsiaTheme="majorEastAsia" w:cstheme="majorBidi"/>
          <w:color w:val="auto"/>
        </w:rPr>
        <w:t>9,</w:t>
      </w:r>
      <w:r w:rsidRPr="5138B304" w:rsidR="003A33C1">
        <w:rPr>
          <w:rFonts w:ascii="Calibri Light" w:hAnsi="Calibri Light" w:eastAsia="ＭＳ ゴシック" w:cs="Times New Roman" w:asciiTheme="majorAscii" w:hAnsiTheme="majorAscii" w:eastAsiaTheme="majorEastAsia" w:cstheme="majorBidi"/>
          <w:color w:val="auto"/>
        </w:rPr>
        <w:t xml:space="preserve"> </w:t>
      </w:r>
      <w:r w:rsidRPr="5138B304" w:rsidR="12724E70">
        <w:rPr>
          <w:rFonts w:ascii="Calibri Light" w:hAnsi="Calibri Light" w:eastAsia="ＭＳ ゴシック" w:cs="Times New Roman" w:asciiTheme="majorAscii" w:hAnsiTheme="majorAscii" w:eastAsiaTheme="majorEastAsia" w:cstheme="majorBidi"/>
          <w:color w:val="auto"/>
        </w:rPr>
        <w:t>będzie</w:t>
      </w:r>
      <w:r w:rsidRPr="5138B304" w:rsidR="12724E70">
        <w:rPr>
          <w:rFonts w:ascii="Calibri Light" w:hAnsi="Calibri Light" w:eastAsia="ＭＳ ゴシック" w:cs="Times New Roman" w:asciiTheme="majorAscii" w:hAnsiTheme="majorAscii" w:eastAsiaTheme="majorEastAsia" w:cstheme="majorBidi"/>
          <w:color w:val="auto"/>
        </w:rPr>
        <w:t xml:space="preserve"> wstawiona tylko na koniec semestru.</w:t>
      </w:r>
    </w:p>
    <w:p w:rsidR="00B932EC" w:rsidP="5138B304" w:rsidRDefault="3C0D9790" w14:paraId="53F59379" w14:textId="2FF5FA74">
      <w:pPr>
        <w:pStyle w:val="Akapitzlist"/>
        <w:numPr>
          <w:ilvl w:val="0"/>
          <w:numId w:val="1"/>
        </w:numPr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/>
        </w:rPr>
      </w:pPr>
      <w:r w:rsidRPr="27AFDC9E" w:rsidR="3C0D9790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 xml:space="preserve">Aktywność podczas lekcji nagradzana jest </w:t>
      </w:r>
      <w:r w:rsidRPr="27AFDC9E" w:rsidR="3C0D9790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plusami</w:t>
      </w:r>
      <w:r w:rsidRPr="27AFDC9E" w:rsidR="003A33C1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,</w:t>
      </w:r>
      <w:r w:rsidRPr="27AFDC9E" w:rsidR="20B87986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 xml:space="preserve"> oceniana na koniec semestru.</w:t>
      </w:r>
      <w:r w:rsidRPr="27AFDC9E" w:rsidR="003A33C1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 xml:space="preserve"> </w:t>
      </w:r>
    </w:p>
    <w:p w:rsidR="00B932EC" w:rsidP="5138B304" w:rsidRDefault="3C0D9790" w14:paraId="770AA1A4" w14:textId="28558B2F">
      <w:pPr>
        <w:pStyle w:val="Akapitzlist"/>
        <w:numPr>
          <w:ilvl w:val="0"/>
          <w:numId w:val="1"/>
        </w:numPr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/>
        </w:rPr>
      </w:pPr>
      <w:r w:rsidRPr="5138B304" w:rsidR="3C0D9790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Brak prac domowych</w:t>
      </w:r>
      <w:r w:rsidRPr="5138B304" w:rsidR="6716CBA8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 xml:space="preserve"> skutkuje wstawieniem </w:t>
      </w:r>
      <w:r w:rsidRPr="5138B304" w:rsidR="5C60DE70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do dziennika “</w:t>
      </w:r>
      <w:r w:rsidRPr="5138B304" w:rsidR="5C60DE70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bz</w:t>
      </w:r>
      <w:r w:rsidRPr="5138B304" w:rsidR="5C60DE70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 xml:space="preserve">”. </w:t>
      </w:r>
    </w:p>
    <w:p w:rsidR="00B932EC" w:rsidP="5138B304" w:rsidRDefault="3C0D9790" w14:paraId="55F131C0" w14:textId="586BD827">
      <w:pPr>
        <w:pStyle w:val="Akapitzlist"/>
        <w:numPr>
          <w:ilvl w:val="0"/>
          <w:numId w:val="1"/>
        </w:numPr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/>
        </w:rPr>
      </w:pPr>
      <w:r w:rsidRPr="5138B304" w:rsidR="3212F059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O</w:t>
      </w:r>
      <w:r w:rsidRPr="5138B304" w:rsidR="3C0D9790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 xml:space="preserve">cena </w:t>
      </w:r>
      <w:r w:rsidRPr="5138B304" w:rsidR="592F3B7A">
        <w:rPr>
          <w:rFonts w:ascii="Calibri Light" w:hAnsi="Calibri Light" w:eastAsia="ＭＳ ゴシック" w:cs="Times New Roman" w:asciiTheme="majorAscii" w:hAnsiTheme="majorAscii" w:eastAsiaTheme="majorEastAsia" w:cstheme="majorBidi"/>
          <w:color w:val="auto"/>
        </w:rPr>
        <w:t>semestralna</w:t>
      </w:r>
      <w:r w:rsidRPr="5138B304" w:rsidR="592F3B7A">
        <w:rPr>
          <w:rFonts w:ascii="Calibri Light" w:hAnsi="Calibri Light" w:eastAsia="ＭＳ ゴシック" w:cs="Times New Roman" w:asciiTheme="majorAscii" w:hAnsiTheme="majorAscii" w:eastAsiaTheme="majorEastAsia" w:cstheme="majorBidi"/>
          <w:color w:val="FF0000"/>
        </w:rPr>
        <w:t xml:space="preserve"> </w:t>
      </w:r>
      <w:r w:rsidRPr="5138B304" w:rsidR="3C0D9790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określana jest według jednolitej dla szkoły skali procentowej:</w:t>
      </w:r>
    </w:p>
    <w:p w:rsidR="00B932EC" w:rsidP="7C1F77ED" w:rsidRDefault="3C0D9790" w14:paraId="7DB0A1F3" w14:textId="0497E0B9">
      <w:pPr>
        <w:pStyle w:val="Akapitzlist"/>
        <w:numPr>
          <w:ilvl w:val="2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036402AD">
        <w:rPr>
          <w:rFonts w:asciiTheme="majorHAnsi" w:hAnsiTheme="majorHAnsi" w:eastAsiaTheme="majorEastAsia" w:cstheme="majorBidi"/>
          <w:color w:val="000000" w:themeColor="text1"/>
        </w:rPr>
        <w:t>0%-40% ocena niedostateczna</w:t>
      </w:r>
    </w:p>
    <w:p w:rsidR="00B932EC" w:rsidP="7C1F77ED" w:rsidRDefault="3C0D9790" w14:paraId="45770B4F" w14:textId="2A92C775">
      <w:pPr>
        <w:pStyle w:val="Akapitzlist"/>
        <w:numPr>
          <w:ilvl w:val="2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036402AD">
        <w:rPr>
          <w:rFonts w:asciiTheme="majorHAnsi" w:hAnsiTheme="majorHAnsi" w:eastAsiaTheme="majorEastAsia" w:cstheme="majorBidi"/>
          <w:color w:val="000000" w:themeColor="text1"/>
        </w:rPr>
        <w:t>41%-52% ocena dopuszczająca</w:t>
      </w:r>
    </w:p>
    <w:p w:rsidR="00B932EC" w:rsidP="7C1F77ED" w:rsidRDefault="3C0D9790" w14:paraId="07FBD1CA" w14:textId="59BEEB31">
      <w:pPr>
        <w:pStyle w:val="Akapitzlist"/>
        <w:numPr>
          <w:ilvl w:val="2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036402AD">
        <w:rPr>
          <w:rFonts w:asciiTheme="majorHAnsi" w:hAnsiTheme="majorHAnsi" w:eastAsiaTheme="majorEastAsia" w:cstheme="majorBidi"/>
          <w:color w:val="000000" w:themeColor="text1"/>
        </w:rPr>
        <w:t>53%-74% ocena dostateczna</w:t>
      </w:r>
    </w:p>
    <w:p w:rsidR="00B932EC" w:rsidP="7C1F77ED" w:rsidRDefault="3C0D9790" w14:paraId="6912A7CF" w14:textId="604A4124">
      <w:pPr>
        <w:pStyle w:val="Akapitzlist"/>
        <w:numPr>
          <w:ilvl w:val="2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036402AD">
        <w:rPr>
          <w:rFonts w:asciiTheme="majorHAnsi" w:hAnsiTheme="majorHAnsi" w:eastAsiaTheme="majorEastAsia" w:cstheme="majorBidi"/>
          <w:color w:val="000000" w:themeColor="text1"/>
        </w:rPr>
        <w:t>75%-89% ocena dobra</w:t>
      </w:r>
    </w:p>
    <w:p w:rsidR="00B932EC" w:rsidP="7C1F77ED" w:rsidRDefault="3C0D9790" w14:paraId="16B43169" w14:textId="7B6D7EF0">
      <w:pPr>
        <w:pStyle w:val="Akapitzlist"/>
        <w:numPr>
          <w:ilvl w:val="2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036402AD">
        <w:rPr>
          <w:rFonts w:asciiTheme="majorHAnsi" w:hAnsiTheme="majorHAnsi" w:eastAsiaTheme="majorEastAsia" w:cstheme="majorBidi"/>
          <w:color w:val="000000" w:themeColor="text1"/>
        </w:rPr>
        <w:t>90%-95% ocena bardzo dobra</w:t>
      </w:r>
    </w:p>
    <w:p w:rsidR="00B932EC" w:rsidP="7C1F77ED" w:rsidRDefault="3C0D9790" w14:paraId="5F2CC039" w14:textId="7D068360">
      <w:pPr>
        <w:pStyle w:val="Akapitzlist"/>
        <w:numPr>
          <w:ilvl w:val="2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036402AD">
        <w:rPr>
          <w:rFonts w:asciiTheme="majorHAnsi" w:hAnsiTheme="majorHAnsi" w:eastAsiaTheme="majorEastAsia" w:cstheme="majorBidi"/>
          <w:color w:val="000000" w:themeColor="text1"/>
        </w:rPr>
        <w:t>96%-100% ocena celująca</w:t>
      </w:r>
    </w:p>
    <w:p w:rsidR="00B932EC" w:rsidP="7C1F77ED" w:rsidRDefault="3C0D9790" w14:paraId="0572997D" w14:textId="7DFEAC3D">
      <w:pPr>
        <w:pStyle w:val="Akapitzlist"/>
        <w:numPr>
          <w:ilvl w:val="0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036402AD">
        <w:rPr>
          <w:rFonts w:asciiTheme="majorHAnsi" w:hAnsiTheme="majorHAnsi" w:eastAsiaTheme="majorEastAsia" w:cstheme="majorBidi"/>
          <w:color w:val="000000" w:themeColor="text1"/>
        </w:rPr>
        <w:t>Ocena celująca jest przewidywana za wykonywanie zadań w przedziale punktów 96% do 100% oraz za osiągnięcia w konkursach przedmiotowych,</w:t>
      </w:r>
    </w:p>
    <w:p w:rsidR="00B932EC" w:rsidP="7C1F77ED" w:rsidRDefault="3C0D9790" w14:paraId="61A5816A" w14:textId="750FC268">
      <w:pPr>
        <w:pStyle w:val="Akapitzlist"/>
        <w:numPr>
          <w:ilvl w:val="0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5138B304" w:rsidR="3C0D9790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Ocena za pierwszy oraz drugi semestr wystawiana jest przez nauczyciela;</w:t>
      </w:r>
    </w:p>
    <w:p w:rsidR="00B932EC" w:rsidP="5138B304" w:rsidRDefault="3C0D9790" w14:paraId="5A4D64A6" w14:textId="610D012D">
      <w:pPr>
        <w:pStyle w:val="Akapitzlist"/>
        <w:numPr>
          <w:ilvl w:val="0"/>
          <w:numId w:val="1"/>
        </w:numPr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/>
        </w:rPr>
      </w:pPr>
      <w:r w:rsidRPr="5138B304" w:rsidR="3C0D9790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 xml:space="preserve">Ocena </w:t>
      </w:r>
      <w:r w:rsidRPr="5138B304" w:rsidR="3C0D9790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końcoworoczna</w:t>
      </w:r>
      <w:r w:rsidRPr="5138B304" w:rsidR="3C0D9790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 xml:space="preserve"> jest oceną za całoroczną pracę wystawianą przez nauczyciela przy wykorzystaniu średniej arytmetycznej </w:t>
      </w:r>
      <w:r w:rsidRPr="5138B304" w:rsidR="003A33C1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ocen semestralnych</w:t>
      </w:r>
      <w:r w:rsidRPr="5138B304" w:rsidR="003A33C1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 xml:space="preserve"> </w:t>
      </w:r>
      <w:r w:rsidRPr="5138B304" w:rsidR="3C0D9790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z wyjątkiem sytuacji opisanych w punktach 1</w:t>
      </w:r>
      <w:r w:rsidRPr="5138B304" w:rsidR="53967CF3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2</w:t>
      </w:r>
      <w:r w:rsidRPr="5138B304" w:rsidR="3C0D9790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,1</w:t>
      </w:r>
      <w:r w:rsidRPr="5138B304" w:rsidR="69516002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3</w:t>
      </w:r>
      <w:r w:rsidRPr="5138B304" w:rsidR="3C0D9790">
        <w:rPr>
          <w:rFonts w:ascii="Calibri Light" w:hAnsi="Calibri Light" w:eastAsia="ＭＳ ゴシック" w:cs="Times New Roman" w:asciiTheme="majorAscii" w:hAnsiTheme="majorAscii" w:eastAsiaTheme="majorEastAsia" w:cstheme="majorBidi"/>
          <w:color w:val="000000" w:themeColor="text1" w:themeTint="FF" w:themeShade="FF"/>
        </w:rPr>
        <w:t>.</w:t>
      </w:r>
    </w:p>
    <w:p w:rsidR="00B932EC" w:rsidP="7C1F77ED" w:rsidRDefault="3C0D9790" w14:paraId="39F56589" w14:textId="78FEFEE0">
      <w:pPr>
        <w:pStyle w:val="Akapitzlist"/>
        <w:numPr>
          <w:ilvl w:val="0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036402AD">
        <w:rPr>
          <w:rFonts w:asciiTheme="majorHAnsi" w:hAnsiTheme="majorHAnsi" w:eastAsiaTheme="majorEastAsia" w:cstheme="majorBidi"/>
          <w:color w:val="000000" w:themeColor="text1"/>
        </w:rPr>
        <w:t xml:space="preserve">Jeżeli uczeń w pierwszym semestrze uzyskał ocenę niedostateczną, wówczas dla uzyskania oceny </w:t>
      </w:r>
      <w:proofErr w:type="spellStart"/>
      <w:r w:rsidRPr="036402AD">
        <w:rPr>
          <w:rFonts w:asciiTheme="majorHAnsi" w:hAnsiTheme="majorHAnsi" w:eastAsiaTheme="majorEastAsia" w:cstheme="majorBidi"/>
          <w:color w:val="000000" w:themeColor="text1"/>
        </w:rPr>
        <w:t>końcoworocznej</w:t>
      </w:r>
      <w:proofErr w:type="spellEnd"/>
      <w:r w:rsidRPr="036402AD">
        <w:rPr>
          <w:rFonts w:asciiTheme="majorHAnsi" w:hAnsiTheme="majorHAnsi" w:eastAsiaTheme="majorEastAsia" w:cstheme="majorBidi"/>
          <w:color w:val="000000" w:themeColor="text1"/>
        </w:rPr>
        <w:t xml:space="preserve"> pozytywnej (dopuszczającej) konieczne jest uzyskanie oceny dostatecznej za drugi semestr;</w:t>
      </w:r>
    </w:p>
    <w:p w:rsidR="00B932EC" w:rsidP="7C1F77ED" w:rsidRDefault="3C0D9790" w14:paraId="58E34B09" w14:textId="7907B854">
      <w:pPr>
        <w:pStyle w:val="Akapitzlist"/>
        <w:numPr>
          <w:ilvl w:val="0"/>
          <w:numId w:val="1"/>
        </w:numPr>
        <w:rPr>
          <w:rFonts w:asciiTheme="majorHAnsi" w:hAnsiTheme="majorHAnsi" w:eastAsiaTheme="majorEastAsia" w:cstheme="majorBidi"/>
          <w:color w:val="000000" w:themeColor="text1"/>
        </w:rPr>
      </w:pPr>
      <w:r w:rsidRPr="036402AD">
        <w:rPr>
          <w:rFonts w:asciiTheme="majorHAnsi" w:hAnsiTheme="majorHAnsi" w:eastAsiaTheme="majorEastAsia" w:cstheme="majorBidi"/>
          <w:color w:val="000000" w:themeColor="text1"/>
        </w:rPr>
        <w:t xml:space="preserve">Jeżeli uczeń w drugim semestrze uzyskał ocenę niedostateczną, jest to jednocześnie jego ocena </w:t>
      </w:r>
      <w:proofErr w:type="spellStart"/>
      <w:r w:rsidRPr="036402AD">
        <w:rPr>
          <w:rFonts w:asciiTheme="majorHAnsi" w:hAnsiTheme="majorHAnsi" w:eastAsiaTheme="majorEastAsia" w:cstheme="majorBidi"/>
          <w:color w:val="000000" w:themeColor="text1"/>
        </w:rPr>
        <w:t>końcoworoczna</w:t>
      </w:r>
      <w:proofErr w:type="spellEnd"/>
      <w:r w:rsidRPr="036402AD">
        <w:rPr>
          <w:rFonts w:asciiTheme="majorHAnsi" w:hAnsiTheme="majorHAnsi" w:eastAsiaTheme="majorEastAsia" w:cstheme="majorBidi"/>
          <w:color w:val="000000" w:themeColor="text1"/>
        </w:rPr>
        <w:t>, bez względu na ocenę z pierwszego semestru;</w:t>
      </w:r>
    </w:p>
    <w:p w:rsidR="00B932EC" w:rsidP="7C1F77ED" w:rsidRDefault="00B932EC" w14:paraId="57375426" w14:textId="57EF8562">
      <w:pPr>
        <w:rPr>
          <w:rFonts w:asciiTheme="majorHAnsi" w:hAnsiTheme="majorHAnsi" w:eastAsiaTheme="majorEastAsia" w:cstheme="majorBidi"/>
          <w:color w:val="000000" w:themeColor="text1"/>
        </w:rPr>
      </w:pPr>
    </w:p>
    <w:sectPr w:rsidR="00B932EC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f296932e86754bc3"/>
      <w:footerReference w:type="default" r:id="Rb3746839d25446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2AF350" w:rsidTr="4D2AF350" w14:paraId="5D7F76CA">
      <w:trPr>
        <w:trHeight w:val="300"/>
      </w:trPr>
      <w:tc>
        <w:tcPr>
          <w:tcW w:w="3005" w:type="dxa"/>
          <w:tcMar/>
        </w:tcPr>
        <w:p w:rsidR="4D2AF350" w:rsidP="4D2AF350" w:rsidRDefault="4D2AF350" w14:paraId="76FD8843" w14:textId="7DA855A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D2AF350" w:rsidP="4D2AF350" w:rsidRDefault="4D2AF350" w14:paraId="325A0C2F" w14:textId="4CD3204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D2AF350" w:rsidP="4D2AF350" w:rsidRDefault="4D2AF350" w14:paraId="630744CF" w14:textId="457861DC">
          <w:pPr>
            <w:pStyle w:val="Header"/>
            <w:bidi w:val="0"/>
            <w:ind w:right="-115"/>
            <w:jc w:val="right"/>
          </w:pPr>
        </w:p>
      </w:tc>
    </w:tr>
  </w:tbl>
  <w:p w:rsidR="4D2AF350" w:rsidP="4D2AF350" w:rsidRDefault="4D2AF350" w14:paraId="5E1C0E68" w14:textId="6E5AAE3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2AF350" w:rsidTr="4D2AF350" w14:paraId="6443C95C">
      <w:trPr>
        <w:trHeight w:val="300"/>
      </w:trPr>
      <w:tc>
        <w:tcPr>
          <w:tcW w:w="3005" w:type="dxa"/>
          <w:tcMar/>
        </w:tcPr>
        <w:p w:rsidR="4D2AF350" w:rsidP="4D2AF350" w:rsidRDefault="4D2AF350" w14:paraId="5EEF2AA4" w14:textId="75B4EC9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D2AF350" w:rsidP="4D2AF350" w:rsidRDefault="4D2AF350" w14:paraId="0A10F01C" w14:textId="1EE136C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D2AF350" w:rsidP="4D2AF350" w:rsidRDefault="4D2AF350" w14:paraId="2599D6CE" w14:textId="1AFB6FC6">
          <w:pPr>
            <w:pStyle w:val="Header"/>
            <w:bidi w:val="0"/>
            <w:ind w:right="-115"/>
            <w:jc w:val="right"/>
          </w:pPr>
        </w:p>
      </w:tc>
    </w:tr>
  </w:tbl>
  <w:p w:rsidR="4D2AF350" w:rsidP="4D2AF350" w:rsidRDefault="4D2AF350" w14:paraId="2A85DC06" w14:textId="323EE55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32DC"/>
    <w:multiLevelType w:val="hybridMultilevel"/>
    <w:tmpl w:val="F6581548"/>
    <w:lvl w:ilvl="0" w:tplc="F0C449E8">
      <w:start w:val="1"/>
      <w:numFmt w:val="decimal"/>
      <w:lvlText w:val="%1."/>
      <w:lvlJc w:val="left"/>
      <w:pPr>
        <w:ind w:left="720" w:hanging="360"/>
      </w:pPr>
    </w:lvl>
    <w:lvl w:ilvl="1" w:tplc="B3346834">
      <w:start w:val="1"/>
      <w:numFmt w:val="lowerLetter"/>
      <w:lvlText w:val="%2."/>
      <w:lvlJc w:val="left"/>
      <w:pPr>
        <w:ind w:left="1440" w:hanging="360"/>
      </w:pPr>
    </w:lvl>
    <w:lvl w:ilvl="2" w:tplc="0FB056EA">
      <w:start w:val="1"/>
      <w:numFmt w:val="lowerRoman"/>
      <w:lvlText w:val="%3."/>
      <w:lvlJc w:val="right"/>
      <w:pPr>
        <w:ind w:left="2160" w:hanging="180"/>
      </w:pPr>
    </w:lvl>
    <w:lvl w:ilvl="3" w:tplc="D7E88116">
      <w:start w:val="1"/>
      <w:numFmt w:val="decimal"/>
      <w:lvlText w:val="%4."/>
      <w:lvlJc w:val="left"/>
      <w:pPr>
        <w:ind w:left="2880" w:hanging="360"/>
      </w:pPr>
    </w:lvl>
    <w:lvl w:ilvl="4" w:tplc="8C7AB256">
      <w:start w:val="1"/>
      <w:numFmt w:val="lowerLetter"/>
      <w:lvlText w:val="%5."/>
      <w:lvlJc w:val="left"/>
      <w:pPr>
        <w:ind w:left="3600" w:hanging="360"/>
      </w:pPr>
    </w:lvl>
    <w:lvl w:ilvl="5" w:tplc="2940CAE8">
      <w:start w:val="1"/>
      <w:numFmt w:val="lowerRoman"/>
      <w:lvlText w:val="%6."/>
      <w:lvlJc w:val="right"/>
      <w:pPr>
        <w:ind w:left="4320" w:hanging="180"/>
      </w:pPr>
    </w:lvl>
    <w:lvl w:ilvl="6" w:tplc="A3884806">
      <w:start w:val="1"/>
      <w:numFmt w:val="decimal"/>
      <w:lvlText w:val="%7."/>
      <w:lvlJc w:val="left"/>
      <w:pPr>
        <w:ind w:left="5040" w:hanging="360"/>
      </w:pPr>
    </w:lvl>
    <w:lvl w:ilvl="7" w:tplc="7D0A84C0">
      <w:start w:val="1"/>
      <w:numFmt w:val="lowerLetter"/>
      <w:lvlText w:val="%8."/>
      <w:lvlJc w:val="left"/>
      <w:pPr>
        <w:ind w:left="5760" w:hanging="360"/>
      </w:pPr>
    </w:lvl>
    <w:lvl w:ilvl="8" w:tplc="4CD4B1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5E4AD"/>
    <w:multiLevelType w:val="hybridMultilevel"/>
    <w:tmpl w:val="6B483DDC"/>
    <w:lvl w:ilvl="0" w:tplc="6E54069C">
      <w:start w:val="1"/>
      <w:numFmt w:val="decimal"/>
      <w:lvlText w:val="%1."/>
      <w:lvlJc w:val="left"/>
      <w:pPr>
        <w:ind w:left="720" w:hanging="360"/>
      </w:pPr>
    </w:lvl>
    <w:lvl w:ilvl="1" w:tplc="E678175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B1659A8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DEA63D54">
      <w:start w:val="1"/>
      <w:numFmt w:val="decimal"/>
      <w:lvlText w:val="%4."/>
      <w:lvlJc w:val="left"/>
      <w:pPr>
        <w:ind w:left="2880" w:hanging="360"/>
      </w:pPr>
    </w:lvl>
    <w:lvl w:ilvl="4" w:tplc="0D14F4E8">
      <w:start w:val="1"/>
      <w:numFmt w:val="lowerLetter"/>
      <w:lvlText w:val="%5."/>
      <w:lvlJc w:val="left"/>
      <w:pPr>
        <w:ind w:left="3600" w:hanging="360"/>
      </w:pPr>
    </w:lvl>
    <w:lvl w:ilvl="5" w:tplc="289A1C7E">
      <w:start w:val="1"/>
      <w:numFmt w:val="lowerRoman"/>
      <w:lvlText w:val="%6."/>
      <w:lvlJc w:val="right"/>
      <w:pPr>
        <w:ind w:left="4320" w:hanging="180"/>
      </w:pPr>
    </w:lvl>
    <w:lvl w:ilvl="6" w:tplc="875417C2">
      <w:start w:val="1"/>
      <w:numFmt w:val="decimal"/>
      <w:lvlText w:val="%7."/>
      <w:lvlJc w:val="left"/>
      <w:pPr>
        <w:ind w:left="5040" w:hanging="360"/>
      </w:pPr>
    </w:lvl>
    <w:lvl w:ilvl="7" w:tplc="BAB2CE9C">
      <w:start w:val="1"/>
      <w:numFmt w:val="lowerLetter"/>
      <w:lvlText w:val="%8."/>
      <w:lvlJc w:val="left"/>
      <w:pPr>
        <w:ind w:left="5760" w:hanging="360"/>
      </w:pPr>
    </w:lvl>
    <w:lvl w:ilvl="8" w:tplc="DF94CD34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202662">
    <w:abstractNumId w:val="1"/>
  </w:num>
  <w:num w:numId="2" w16cid:durableId="114878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6A"/>
    <w:rsid w:val="003A33C1"/>
    <w:rsid w:val="003F076A"/>
    <w:rsid w:val="00506668"/>
    <w:rsid w:val="00AC19DF"/>
    <w:rsid w:val="00B932EC"/>
    <w:rsid w:val="00D660EB"/>
    <w:rsid w:val="01631B50"/>
    <w:rsid w:val="0165F94F"/>
    <w:rsid w:val="018DF223"/>
    <w:rsid w:val="018EA62B"/>
    <w:rsid w:val="01A02449"/>
    <w:rsid w:val="021A4767"/>
    <w:rsid w:val="02FF8329"/>
    <w:rsid w:val="036402AD"/>
    <w:rsid w:val="038CDB41"/>
    <w:rsid w:val="049B538A"/>
    <w:rsid w:val="05651FF8"/>
    <w:rsid w:val="07AA96F4"/>
    <w:rsid w:val="07C45910"/>
    <w:rsid w:val="12724E70"/>
    <w:rsid w:val="13E16397"/>
    <w:rsid w:val="16C6C40A"/>
    <w:rsid w:val="1944896F"/>
    <w:rsid w:val="199DECFB"/>
    <w:rsid w:val="1ACEB9DD"/>
    <w:rsid w:val="1B57E971"/>
    <w:rsid w:val="1C3B9DCE"/>
    <w:rsid w:val="1CD58DBD"/>
    <w:rsid w:val="1EB03AE0"/>
    <w:rsid w:val="1F32F430"/>
    <w:rsid w:val="20B87986"/>
    <w:rsid w:val="264360C1"/>
    <w:rsid w:val="27113777"/>
    <w:rsid w:val="27AFDC9E"/>
    <w:rsid w:val="27DAD529"/>
    <w:rsid w:val="27DC2790"/>
    <w:rsid w:val="290C0357"/>
    <w:rsid w:val="2AFD6670"/>
    <w:rsid w:val="2C088522"/>
    <w:rsid w:val="2CE186CD"/>
    <w:rsid w:val="2D2E545F"/>
    <w:rsid w:val="2DC67EEE"/>
    <w:rsid w:val="2FAD21C0"/>
    <w:rsid w:val="3212F059"/>
    <w:rsid w:val="33DC2A15"/>
    <w:rsid w:val="34241D3D"/>
    <w:rsid w:val="376D2E63"/>
    <w:rsid w:val="377D3B45"/>
    <w:rsid w:val="383651B4"/>
    <w:rsid w:val="39ADB302"/>
    <w:rsid w:val="39ED29BF"/>
    <w:rsid w:val="3AF09C98"/>
    <w:rsid w:val="3C0D9790"/>
    <w:rsid w:val="3C88CE20"/>
    <w:rsid w:val="3D0F9A19"/>
    <w:rsid w:val="3D34954A"/>
    <w:rsid w:val="3DF7679D"/>
    <w:rsid w:val="3E186B2F"/>
    <w:rsid w:val="4411B481"/>
    <w:rsid w:val="444295F0"/>
    <w:rsid w:val="44F71702"/>
    <w:rsid w:val="4863DB1A"/>
    <w:rsid w:val="4AB1C737"/>
    <w:rsid w:val="4B376F8A"/>
    <w:rsid w:val="4C952920"/>
    <w:rsid w:val="4D2AF350"/>
    <w:rsid w:val="4DFA8137"/>
    <w:rsid w:val="4F5DC19E"/>
    <w:rsid w:val="506A5ACA"/>
    <w:rsid w:val="5138B304"/>
    <w:rsid w:val="53967CF3"/>
    <w:rsid w:val="53F3686F"/>
    <w:rsid w:val="57CC031F"/>
    <w:rsid w:val="57E523C9"/>
    <w:rsid w:val="587D7816"/>
    <w:rsid w:val="58CC5D7E"/>
    <w:rsid w:val="592F3B7A"/>
    <w:rsid w:val="5B9686CE"/>
    <w:rsid w:val="5C60DE70"/>
    <w:rsid w:val="5C8546B3"/>
    <w:rsid w:val="5DEE76A5"/>
    <w:rsid w:val="5FCCDED3"/>
    <w:rsid w:val="60389656"/>
    <w:rsid w:val="6197A70E"/>
    <w:rsid w:val="6716CBA8"/>
    <w:rsid w:val="69516002"/>
    <w:rsid w:val="6A83DB71"/>
    <w:rsid w:val="707C1EA1"/>
    <w:rsid w:val="71419E5A"/>
    <w:rsid w:val="73D09E09"/>
    <w:rsid w:val="73D35E6C"/>
    <w:rsid w:val="75202E45"/>
    <w:rsid w:val="76C14B2D"/>
    <w:rsid w:val="78060B12"/>
    <w:rsid w:val="7980EA5B"/>
    <w:rsid w:val="7C0A9B5E"/>
    <w:rsid w:val="7C1F77ED"/>
    <w:rsid w:val="7C8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076A"/>
  <w15:chartTrackingRefBased/>
  <w15:docId w15:val="{DB8270D9-2155-4BEE-A81D-5D7A1842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ormaltextrun" w:customStyle="1">
    <w:name w:val="normaltextrun"/>
    <w:basedOn w:val="Domylnaczcionkaakapitu"/>
    <w:uiPriority w:val="1"/>
    <w:rsid w:val="33DC2A15"/>
  </w:style>
  <w:style w:type="character" w:styleId="eop" w:customStyle="1">
    <w:name w:val="eop"/>
    <w:basedOn w:val="Domylnaczcionkaakapitu"/>
    <w:uiPriority w:val="1"/>
    <w:rsid w:val="33DC2A15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omylnaczcionkaakapitu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ny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omylnaczcionkaakapitu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ny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f296932e86754bc3" /><Relationship Type="http://schemas.openxmlformats.org/officeDocument/2006/relationships/footer" Target="footer.xml" Id="Rb3746839d25446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Zofia Ziółkowska</dc:creator>
  <keywords/>
  <dc:description/>
  <lastModifiedBy>Zofia Ziółkowska</lastModifiedBy>
  <revision>5</revision>
  <dcterms:created xsi:type="dcterms:W3CDTF">2024-09-02T10:58:00.0000000Z</dcterms:created>
  <dcterms:modified xsi:type="dcterms:W3CDTF">2024-09-25T12:58:46.6589274Z</dcterms:modified>
</coreProperties>
</file>